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7B35" w:rsidRDefault="00E248FD">
      <w:pPr>
        <w:jc w:val="center"/>
      </w:pPr>
      <w:r>
        <w:rPr>
          <w:noProof/>
        </w:rPr>
        <w:drawing>
          <wp:inline distT="0" distB="0" distL="114300" distR="114300" wp14:anchorId="409ED96B" wp14:editId="2907BFBB">
            <wp:extent cx="1793174" cy="1782681"/>
            <wp:effectExtent l="0" t="0" r="0" b="8255"/>
            <wp:docPr id="2" name="image04.png" descr="C:\Users\daniel\Desktop\Huge Logo.jpg"/>
            <wp:cNvGraphicFramePr/>
            <a:graphic xmlns:a="http://schemas.openxmlformats.org/drawingml/2006/main">
              <a:graphicData uri="http://schemas.openxmlformats.org/drawingml/2006/picture">
                <pic:pic xmlns:pic="http://schemas.openxmlformats.org/drawingml/2006/picture">
                  <pic:nvPicPr>
                    <pic:cNvPr id="0" name="image04.png" descr="C:\Users\daniel\Desktop\Huge Logo.jpg"/>
                    <pic:cNvPicPr preferRelativeResize="0"/>
                  </pic:nvPicPr>
                  <pic:blipFill>
                    <a:blip r:embed="rId8"/>
                    <a:srcRect l="4021" t="3523" r="4021" b="25834"/>
                    <a:stretch>
                      <a:fillRect/>
                    </a:stretch>
                  </pic:blipFill>
                  <pic:spPr>
                    <a:xfrm>
                      <a:off x="0" y="0"/>
                      <a:ext cx="1828423" cy="1817724"/>
                    </a:xfrm>
                    <a:prstGeom prst="rect">
                      <a:avLst/>
                    </a:prstGeom>
                    <a:ln/>
                  </pic:spPr>
                </pic:pic>
              </a:graphicData>
            </a:graphic>
          </wp:inline>
        </w:drawing>
      </w:r>
    </w:p>
    <w:p w:rsidR="00AB7B35" w:rsidRDefault="00AB7B35">
      <w:pPr>
        <w:jc w:val="center"/>
      </w:pPr>
    </w:p>
    <w:p w:rsidR="00AB7B35" w:rsidRDefault="003E1635">
      <w:pPr>
        <w:pStyle w:val="Heading1"/>
      </w:pPr>
      <w:r>
        <w:rPr>
          <w:sz w:val="32"/>
        </w:rPr>
        <w:t xml:space="preserve">Release of The Turrentine Outlook Issue 16, Providing Insight </w:t>
      </w:r>
      <w:r w:rsidR="00EA4D8B">
        <w:rPr>
          <w:sz w:val="32"/>
        </w:rPr>
        <w:t>into</w:t>
      </w:r>
      <w:r>
        <w:rPr>
          <w:sz w:val="32"/>
        </w:rPr>
        <w:t xml:space="preserve"> the Changing Supply Dynamics of the Wine</w:t>
      </w:r>
      <w:bookmarkStart w:id="0" w:name="_GoBack"/>
      <w:bookmarkEnd w:id="0"/>
      <w:r>
        <w:rPr>
          <w:sz w:val="32"/>
        </w:rPr>
        <w:t xml:space="preserve"> Business</w:t>
      </w:r>
    </w:p>
    <w:p w:rsidR="00AB7B35" w:rsidRDefault="00E248FD">
      <w:pPr>
        <w:pStyle w:val="Subtitle"/>
      </w:pPr>
      <w:r>
        <w:rPr>
          <w:sz w:val="22"/>
        </w:rPr>
        <w:t>by Turren</w:t>
      </w:r>
      <w:r w:rsidR="007855A4">
        <w:rPr>
          <w:sz w:val="22"/>
        </w:rPr>
        <w:t>tine Brokerage</w:t>
      </w:r>
      <w:r w:rsidR="007855A4">
        <w:rPr>
          <w:sz w:val="22"/>
        </w:rPr>
        <w:br/>
      </w:r>
      <w:r w:rsidR="003E1635">
        <w:rPr>
          <w:sz w:val="22"/>
        </w:rPr>
        <w:t xml:space="preserve">June </w:t>
      </w:r>
      <w:r w:rsidR="00BC1CC2">
        <w:rPr>
          <w:sz w:val="22"/>
        </w:rPr>
        <w:t>21</w:t>
      </w:r>
      <w:r w:rsidR="003E1635">
        <w:rPr>
          <w:sz w:val="22"/>
        </w:rPr>
        <w:t>, 2016</w:t>
      </w:r>
    </w:p>
    <w:p w:rsidR="00AB7B35" w:rsidRDefault="00E248FD">
      <w:r>
        <w:t>For Immediate Release</w:t>
      </w:r>
    </w:p>
    <w:p w:rsidR="00EA4D8B" w:rsidRDefault="00E248FD" w:rsidP="003E1635">
      <w:r>
        <w:rPr>
          <w:b/>
        </w:rPr>
        <w:t>Novato, CA</w:t>
      </w:r>
      <w:r>
        <w:t xml:space="preserve"> – </w:t>
      </w:r>
      <w:r w:rsidR="00EA4D8B">
        <w:t xml:space="preserve">The Turrentine Brokerage team is proud to announce the release of Issue 16 of </w:t>
      </w:r>
      <w:r w:rsidR="00EA4D8B" w:rsidRPr="003603B8">
        <w:rPr>
          <w:i/>
        </w:rPr>
        <w:t>The Turrentine Outlook: Forecasts and Strategies for a Competitive Advantage</w:t>
      </w:r>
      <w:r w:rsidR="0020734F" w:rsidRPr="0020734F">
        <w:rPr>
          <w:rFonts w:asciiTheme="majorHAnsi" w:hAnsiTheme="majorHAnsi"/>
          <w:color w:val="auto"/>
        </w:rPr>
        <w:t>©</w:t>
      </w:r>
      <w:r w:rsidR="00EA4D8B">
        <w:t xml:space="preserve">. </w:t>
      </w:r>
      <w:r w:rsidR="00524D57">
        <w:t xml:space="preserve">The information in </w:t>
      </w:r>
      <w:r w:rsidR="00524D57" w:rsidRPr="00524D57">
        <w:rPr>
          <w:i/>
        </w:rPr>
        <w:t>The Turrentine Outlook</w:t>
      </w:r>
      <w:r w:rsidR="00524D57">
        <w:t xml:space="preserve"> sets a foundation that illustrates the long-term cycles of the market, and is designed to be supplemented with specific advice and strategy for your individual situation. </w:t>
      </w:r>
      <w:r w:rsidR="00EA4D8B">
        <w:t>This publication draws upon Turrentine Brokerage’s real world experience and unique supply data to analyze changes in supply and demand for eight key varietals in the major regions across California and internationally. The report also suggests strategy options for a competitive advantage.</w:t>
      </w:r>
    </w:p>
    <w:p w:rsidR="003F4935" w:rsidRDefault="003F4935" w:rsidP="003F4935">
      <w:r>
        <w:t>Highlights</w:t>
      </w:r>
      <w:r w:rsidR="009A43ED">
        <w:t xml:space="preserve"> </w:t>
      </w:r>
      <w:r w:rsidR="003603B8">
        <w:t xml:space="preserve">in </w:t>
      </w:r>
      <w:r w:rsidR="009A43ED">
        <w:t>this issue</w:t>
      </w:r>
      <w:r>
        <w:t xml:space="preserve"> include: </w:t>
      </w:r>
    </w:p>
    <w:p w:rsidR="003F4935" w:rsidRDefault="003F4935" w:rsidP="003F4935">
      <w:pPr>
        <w:pStyle w:val="ListParagraph"/>
        <w:numPr>
          <w:ilvl w:val="0"/>
          <w:numId w:val="3"/>
        </w:numPr>
      </w:pPr>
      <w:r>
        <w:t>T</w:t>
      </w:r>
      <w:r w:rsidR="007B7A39">
        <w:t xml:space="preserve">he </w:t>
      </w:r>
      <w:r>
        <w:t xml:space="preserve">potential impacts </w:t>
      </w:r>
      <w:r w:rsidR="009A43ED">
        <w:t>on the wine and grape markets</w:t>
      </w:r>
      <w:r w:rsidR="0020734F">
        <w:t xml:space="preserve"> from</w:t>
      </w:r>
      <w:r>
        <w:t xml:space="preserve">: </w:t>
      </w:r>
    </w:p>
    <w:p w:rsidR="003F4935" w:rsidRDefault="003F4935" w:rsidP="003F4935">
      <w:pPr>
        <w:pStyle w:val="ListParagraph"/>
        <w:numPr>
          <w:ilvl w:val="1"/>
          <w:numId w:val="3"/>
        </w:numPr>
      </w:pPr>
      <w:r>
        <w:t>T</w:t>
      </w:r>
      <w:r w:rsidR="007B7A39">
        <w:t>he</w:t>
      </w:r>
      <w:r w:rsidR="009A43ED">
        <w:t xml:space="preserve"> increased volume of</w:t>
      </w:r>
      <w:r w:rsidR="007B7A39">
        <w:t xml:space="preserve"> </w:t>
      </w:r>
      <w:r w:rsidR="009A43ED">
        <w:t xml:space="preserve">wines and grapes sourced from </w:t>
      </w:r>
      <w:r w:rsidR="007B7A39">
        <w:t>northern interior to compete on store shelves above $10.00 per bottle</w:t>
      </w:r>
    </w:p>
    <w:p w:rsidR="007B7A39" w:rsidRDefault="003F4935" w:rsidP="003F4935">
      <w:pPr>
        <w:pStyle w:val="ListParagraph"/>
        <w:numPr>
          <w:ilvl w:val="1"/>
          <w:numId w:val="3"/>
        </w:numPr>
      </w:pPr>
      <w:r>
        <w:t>Consolidation and distribution</w:t>
      </w:r>
    </w:p>
    <w:p w:rsidR="003F4935" w:rsidRDefault="003F4935" w:rsidP="003F4935">
      <w:pPr>
        <w:pStyle w:val="ListParagraph"/>
        <w:numPr>
          <w:ilvl w:val="1"/>
          <w:numId w:val="3"/>
        </w:numPr>
      </w:pPr>
      <w:r>
        <w:t xml:space="preserve">Land use </w:t>
      </w:r>
      <w:r w:rsidR="009A43ED">
        <w:t xml:space="preserve">restrictions </w:t>
      </w:r>
      <w:r>
        <w:t>and accessibility to water</w:t>
      </w:r>
    </w:p>
    <w:p w:rsidR="003F4935" w:rsidRDefault="003F4935" w:rsidP="003F4935">
      <w:pPr>
        <w:pStyle w:val="ListParagraph"/>
        <w:numPr>
          <w:ilvl w:val="0"/>
          <w:numId w:val="3"/>
        </w:numPr>
      </w:pPr>
      <w:r>
        <w:t xml:space="preserve">Factors strengthening the market </w:t>
      </w:r>
      <w:r w:rsidR="0020734F">
        <w:t>and</w:t>
      </w:r>
      <w:r>
        <w:t xml:space="preserve"> those weakening the market</w:t>
      </w:r>
    </w:p>
    <w:p w:rsidR="00BC1CC2" w:rsidRDefault="003F4935" w:rsidP="00755ECD">
      <w:pPr>
        <w:pStyle w:val="ListParagraph"/>
        <w:numPr>
          <w:ilvl w:val="0"/>
          <w:numId w:val="3"/>
        </w:numPr>
      </w:pPr>
      <w:r>
        <w:t>Supply and demand driven analysis for Cabernet Sauvignon, Pinot Noir, Chardonnay, Merlot, Pinot Grigio, Zinfandel, Petite Sirah and Muscat varieties</w:t>
      </w:r>
    </w:p>
    <w:p w:rsidR="00BC1CC2" w:rsidRDefault="00BC1CC2">
      <w:r>
        <w:br w:type="page"/>
      </w:r>
    </w:p>
    <w:p w:rsidR="003F4935" w:rsidRPr="00ED4AEB" w:rsidRDefault="003E1635">
      <w:pPr>
        <w:rPr>
          <w:rFonts w:asciiTheme="majorHAnsi" w:hAnsiTheme="majorHAnsi"/>
          <w:b/>
          <w:color w:val="632423" w:themeColor="accent2" w:themeShade="80"/>
          <w:sz w:val="28"/>
        </w:rPr>
      </w:pPr>
      <w:r w:rsidRPr="00ED4AEB">
        <w:rPr>
          <w:rFonts w:asciiTheme="majorHAnsi" w:hAnsiTheme="majorHAnsi"/>
          <w:b/>
          <w:color w:val="632423" w:themeColor="accent2" w:themeShade="80"/>
          <w:sz w:val="28"/>
        </w:rPr>
        <w:lastRenderedPageBreak/>
        <w:t xml:space="preserve">Excerpt </w:t>
      </w:r>
      <w:r w:rsidR="00ED4AEB">
        <w:rPr>
          <w:rFonts w:asciiTheme="majorHAnsi" w:hAnsiTheme="majorHAnsi"/>
          <w:b/>
          <w:color w:val="632423" w:themeColor="accent2" w:themeShade="80"/>
          <w:sz w:val="28"/>
        </w:rPr>
        <w:t>from</w:t>
      </w:r>
      <w:r w:rsidR="00ED4AEB" w:rsidRPr="00ED4AEB">
        <w:rPr>
          <w:rFonts w:asciiTheme="majorHAnsi" w:hAnsiTheme="majorHAnsi"/>
          <w:b/>
          <w:color w:val="632423" w:themeColor="accent2" w:themeShade="80"/>
          <w:sz w:val="28"/>
        </w:rPr>
        <w:t xml:space="preserve"> </w:t>
      </w:r>
      <w:r w:rsidR="00015AD5" w:rsidRPr="00ED4AEB">
        <w:rPr>
          <w:rFonts w:asciiTheme="majorHAnsi" w:hAnsiTheme="majorHAnsi"/>
          <w:b/>
          <w:color w:val="632423" w:themeColor="accent2" w:themeShade="80"/>
          <w:sz w:val="28"/>
        </w:rPr>
        <w:t>Central Coast Chardonnay</w:t>
      </w:r>
    </w:p>
    <w:p w:rsidR="003E1635" w:rsidRDefault="003F4935" w:rsidP="00E671D0">
      <w:r>
        <w:t>“</w:t>
      </w:r>
      <w:r w:rsidR="00E671D0">
        <w:t xml:space="preserve">Grapes from the Central Coast, including Crush Districts 6, 7 and 8, account for roughly 25% of the Chardonnay crushed in California and are </w:t>
      </w:r>
      <w:r w:rsidR="009A43ED">
        <w:t xml:space="preserve">extremely important because they </w:t>
      </w:r>
      <w:r w:rsidR="003603B8">
        <w:t>supply brands</w:t>
      </w:r>
      <w:r w:rsidR="00E671D0">
        <w:t xml:space="preserve"> covering the full spectrum of price points. The 2015 crop was 31% below 2014, bringing inventories much more into balance in the short-term. The market for</w:t>
      </w:r>
      <w:r w:rsidR="009A43ED">
        <w:t xml:space="preserve"> 2016 grapes was more active </w:t>
      </w:r>
      <w:r w:rsidR="0020734F">
        <w:t>early in the year</w:t>
      </w:r>
      <w:r w:rsidR="00E671D0">
        <w:t>, especially in the cooler regions of Monterey County and Santa Barbara County.</w:t>
      </w:r>
      <w:r w:rsidR="009A43ED">
        <w:t xml:space="preserve">  The bulk market was also more active than in the previous three years.</w:t>
      </w:r>
    </w:p>
    <w:p w:rsidR="00E671D0" w:rsidRDefault="0020734F" w:rsidP="00E671D0">
      <w:r>
        <w:t>T</w:t>
      </w:r>
      <w:r w:rsidR="00E671D0">
        <w:t>he current perception of the 2016 crop is for an average crop with early projections based on counts of two clusters per shoot; however, there are singles out there as well</w:t>
      </w:r>
      <w:r>
        <w:t>.</w:t>
      </w:r>
      <w:r w:rsidR="00E671D0">
        <w:t xml:space="preserve"> The winter of 2015-2016 provided more water than in recent years, and should be enough to properly farm throughout the 2016 growing season</w:t>
      </w:r>
      <w:r>
        <w:t>.</w:t>
      </w:r>
      <w:r w:rsidR="00E671D0">
        <w:t xml:space="preserve"> </w:t>
      </w:r>
      <w:r w:rsidR="009A43ED">
        <w:t>In the long</w:t>
      </w:r>
      <w:r w:rsidR="003603B8">
        <w:t>-</w:t>
      </w:r>
      <w:r w:rsidR="009A43ED">
        <w:t>term, t</w:t>
      </w:r>
      <w:r w:rsidR="00E671D0">
        <w:t>he political effects from the drought have resulted in incre</w:t>
      </w:r>
      <w:r w:rsidR="00600E0D">
        <w:t>ased farming regulations</w:t>
      </w:r>
      <w:r w:rsidR="00E671D0">
        <w:t>, leading to even more scrutiny on water use, increased farming and development costs, and delays.</w:t>
      </w:r>
    </w:p>
    <w:p w:rsidR="00E671D0" w:rsidRDefault="005A5E6F" w:rsidP="00E671D0">
      <w:r>
        <w:t xml:space="preserve">It </w:t>
      </w:r>
      <w:r w:rsidR="00FF24DB">
        <w:t xml:space="preserve">seems </w:t>
      </w:r>
      <w:r w:rsidR="00600E0D">
        <w:t xml:space="preserve">likely </w:t>
      </w:r>
      <w:r>
        <w:t>that consumer demand will</w:t>
      </w:r>
      <w:r w:rsidR="00600E0D">
        <w:t xml:space="preserve"> </w:t>
      </w:r>
      <w:r w:rsidR="00FF24DB">
        <w:t xml:space="preserve">continue </w:t>
      </w:r>
      <w:r w:rsidR="00600E0D">
        <w:t>grow</w:t>
      </w:r>
      <w:r w:rsidR="00FF24DB">
        <w:t>ing</w:t>
      </w:r>
      <w:r w:rsidR="00600E0D">
        <w:t xml:space="preserve"> at a healthy clip </w:t>
      </w:r>
      <w:r w:rsidR="00EC46DF">
        <w:t>f</w:t>
      </w:r>
      <w:r w:rsidR="00FF24DB">
        <w:t>rom $8</w:t>
      </w:r>
      <w:r w:rsidR="003603B8">
        <w:t>.00</w:t>
      </w:r>
      <w:r w:rsidR="00600E0D">
        <w:t xml:space="preserve"> up to $15.00 per bottle. The competition </w:t>
      </w:r>
      <w:r w:rsidR="00FF24DB">
        <w:t>for consumers purchase</w:t>
      </w:r>
      <w:r w:rsidR="00E0379C">
        <w:t xml:space="preserve">s in </w:t>
      </w:r>
      <w:r w:rsidR="00600E0D">
        <w:t xml:space="preserve">this price-point, however, will also be strong. In particular, it is hard to predict the outcome of the continued and concerted efforts </w:t>
      </w:r>
      <w:r>
        <w:t xml:space="preserve">to </w:t>
      </w:r>
      <w:r w:rsidR="000232F5">
        <w:t>use more</w:t>
      </w:r>
      <w:r w:rsidR="00600E0D">
        <w:t xml:space="preserve"> northern interior Chardonnay grapes and wine in order to supply a larger percentage of the Chardonnay sold in this price range. With this competitive development, it is difficult to know if the production of Central Coast grapes as well as the production of Chardonnay from competing regions will surge ahead of demand or if growing demand will match, or even exceed, the growth in supply. Growers will want to redouble their work on quality to help justify the premium paid for cool region Central Coast Chardonnay while still keeping control of costs. Brand owners will want to keep tinkering with the puzzle of how to best deliver stupendous perceived quality to the consumer at a highly competitive price. </w:t>
      </w:r>
    </w:p>
    <w:p w:rsidR="009A43ED" w:rsidRDefault="009A43ED" w:rsidP="009A43ED">
      <w:pPr>
        <w:pStyle w:val="Heading1"/>
        <w:rPr>
          <w:rFonts w:asciiTheme="majorHAnsi" w:hAnsiTheme="majorHAnsi"/>
          <w:color w:val="632423" w:themeColor="accent2" w:themeShade="80"/>
          <w:sz w:val="10"/>
        </w:rPr>
      </w:pPr>
      <w:r w:rsidRPr="002702F2">
        <w:rPr>
          <w:rFonts w:asciiTheme="majorHAnsi" w:hAnsiTheme="majorHAnsi"/>
          <w:color w:val="632423" w:themeColor="accent2" w:themeShade="80"/>
        </w:rPr>
        <w:t>The Turrentine Outlook©</w:t>
      </w:r>
      <w:r w:rsidRPr="002702F2">
        <w:rPr>
          <w:rFonts w:asciiTheme="majorHAnsi" w:hAnsiTheme="majorHAnsi"/>
          <w:color w:val="632423" w:themeColor="accent2" w:themeShade="80"/>
          <w:sz w:val="10"/>
        </w:rPr>
        <w:t xml:space="preserve"> </w:t>
      </w:r>
    </w:p>
    <w:p w:rsidR="009A43ED" w:rsidRDefault="009A43ED" w:rsidP="009A43ED">
      <w:r w:rsidRPr="0020734F">
        <w:rPr>
          <w:i/>
        </w:rPr>
        <w:t xml:space="preserve">The Turrentine </w:t>
      </w:r>
      <w:r w:rsidR="003603B8" w:rsidRPr="0020734F">
        <w:rPr>
          <w:i/>
        </w:rPr>
        <w:t>O</w:t>
      </w:r>
      <w:r w:rsidRPr="0020734F">
        <w:rPr>
          <w:i/>
        </w:rPr>
        <w:t>utlook</w:t>
      </w:r>
      <w:r>
        <w:t xml:space="preserve"> is produced by a team of wine industry veterans with an understanding of both strategic and tactical actions necessary to capture a competitive advantage in the marketplace. This report draws upon a robust pool of information, both proprietary and public, that has been refined and corrected in accordance with expert opinion and real world practice. The Turrentine Outlook delivers data snapshots for eight key varieties by region and forward looking analysis that are not available anywhere else, thus shedding a revealing light on supply dynamics.</w:t>
      </w:r>
    </w:p>
    <w:p w:rsidR="00745441" w:rsidRPr="00886C30" w:rsidRDefault="009A43ED" w:rsidP="00E671D0">
      <w:r>
        <w:t>Supply and demand is analyzed with the help of multiple graphs including: bearing vs. non-bearing acres and tons crushed, spot market versus district average grape prices, bulk wine availability, collateral values of wines in bulk, tons and values of grapes grown by district, international pricing and estimated price per gallon landed in California duty paid, and Turrentine Wheel dynamics for each variety at various price points.</w:t>
      </w:r>
    </w:p>
    <w:p w:rsidR="00886C30" w:rsidRDefault="003E1635" w:rsidP="003E1635">
      <w:pPr>
        <w:spacing w:before="100" w:beforeAutospacing="1" w:after="100" w:afterAutospacing="1"/>
        <w:rPr>
          <w:rStyle w:val="Heading1Char"/>
          <w:rFonts w:asciiTheme="majorHAnsi" w:hAnsiTheme="majorHAnsi"/>
          <w:color w:val="632423" w:themeColor="accent2" w:themeShade="80"/>
        </w:rPr>
      </w:pPr>
      <w:r w:rsidRPr="00D30D95">
        <w:rPr>
          <w:rStyle w:val="Heading1Char"/>
          <w:rFonts w:asciiTheme="majorHAnsi" w:hAnsiTheme="majorHAnsi"/>
          <w:color w:val="632423" w:themeColor="accent2" w:themeShade="80"/>
        </w:rPr>
        <w:lastRenderedPageBreak/>
        <w:t>About Turrentine Brokerage</w:t>
      </w:r>
    </w:p>
    <w:p w:rsidR="003E1635" w:rsidRDefault="00886C30" w:rsidP="00886C30">
      <w:pPr>
        <w:pStyle w:val="NoSpacing"/>
      </w:pPr>
      <w:r>
        <w:t xml:space="preserve">Turrentine Brokerage, founded in 1973, serves as a trusted and strategic advisor to growers, wineries, and financiers, specializing in the strategic sourcing of wine grapes and bulk wine from the major growing areas across the globe. Working with thousands of wineries worldwide, and with over 2,000 growers, this experienced team has negotiated transactions between buyers and sellers valued at more than $2 billion over the last decade. Widely recognized as the leading expert </w:t>
      </w:r>
      <w:r w:rsidR="00745441">
        <w:t xml:space="preserve">in </w:t>
      </w:r>
      <w:r>
        <w:t>wine business supply cycles, Turrentine Brokerage provides unique insight into the complex market dynamics that can make or break growers, brands, and financiers.</w:t>
      </w:r>
    </w:p>
    <w:p w:rsidR="00755ECD" w:rsidRPr="00ED4AEB" w:rsidRDefault="003E1635" w:rsidP="00755ECD">
      <w:pPr>
        <w:spacing w:before="100" w:beforeAutospacing="1" w:after="100" w:afterAutospacing="1"/>
        <w:rPr>
          <w:rStyle w:val="Heading1Char"/>
          <w:rFonts w:asciiTheme="majorHAnsi" w:hAnsiTheme="majorHAnsi"/>
          <w:color w:val="632423" w:themeColor="accent2" w:themeShade="80"/>
          <w:sz w:val="36"/>
        </w:rPr>
      </w:pPr>
      <w:r w:rsidRPr="00ED4AEB">
        <w:rPr>
          <w:rFonts w:asciiTheme="majorHAnsi" w:hAnsiTheme="majorHAnsi"/>
          <w:b/>
          <w:color w:val="632423" w:themeColor="accent2" w:themeShade="80"/>
          <w:sz w:val="28"/>
        </w:rPr>
        <w:t>Contact</w:t>
      </w:r>
      <w:r w:rsidR="00755ECD" w:rsidRPr="00ED4AEB">
        <w:rPr>
          <w:rStyle w:val="Heading1Char"/>
          <w:rFonts w:asciiTheme="majorHAnsi" w:hAnsiTheme="majorHAnsi"/>
          <w:color w:val="632423" w:themeColor="accent2" w:themeShade="80"/>
          <w:sz w:val="36"/>
        </w:rPr>
        <w:t xml:space="preserve"> </w:t>
      </w:r>
    </w:p>
    <w:p w:rsidR="00755ECD" w:rsidRPr="00755ECD" w:rsidRDefault="00755ECD" w:rsidP="00ED4AEB">
      <w:pPr>
        <w:pStyle w:val="Heading1"/>
      </w:pPr>
      <w:r w:rsidRPr="00ED4AEB">
        <w:rPr>
          <w:rFonts w:asciiTheme="minorHAnsi" w:hAnsiTheme="minorHAnsi"/>
          <w:b w:val="0"/>
          <w:color w:val="auto"/>
          <w:sz w:val="22"/>
        </w:rPr>
        <w:t xml:space="preserve">To subscribe to The Turrentine Outlook, please visit </w:t>
      </w:r>
      <w:hyperlink r:id="rId9" w:history="1">
        <w:r w:rsidRPr="00755ECD">
          <w:rPr>
            <w:rStyle w:val="Hyperlink"/>
            <w:rFonts w:asciiTheme="minorHAnsi" w:hAnsiTheme="minorHAnsi"/>
            <w:b w:val="0"/>
            <w:sz w:val="22"/>
          </w:rPr>
          <w:t>www.turrentineoutlook.com</w:t>
        </w:r>
      </w:hyperlink>
      <w:r w:rsidR="00C81A31" w:rsidRPr="00ED4AEB">
        <w:rPr>
          <w:rFonts w:asciiTheme="minorHAnsi" w:hAnsiTheme="minorHAnsi"/>
          <w:b w:val="0"/>
          <w:color w:val="auto"/>
          <w:sz w:val="22"/>
        </w:rPr>
        <w:t>. For</w:t>
      </w:r>
      <w:r w:rsidRPr="00ED4AEB">
        <w:rPr>
          <w:rFonts w:asciiTheme="minorHAnsi" w:hAnsiTheme="minorHAnsi"/>
          <w:b w:val="0"/>
          <w:color w:val="auto"/>
          <w:sz w:val="22"/>
        </w:rPr>
        <w:t xml:space="preserve"> more information, please </w:t>
      </w:r>
      <w:r w:rsidR="00C81A31" w:rsidRPr="00ED4AEB">
        <w:rPr>
          <w:rFonts w:asciiTheme="minorHAnsi" w:hAnsiTheme="minorHAnsi"/>
          <w:b w:val="0"/>
          <w:color w:val="auto"/>
          <w:sz w:val="22"/>
        </w:rPr>
        <w:t xml:space="preserve">call </w:t>
      </w:r>
      <w:r w:rsidRPr="00ED4AEB">
        <w:rPr>
          <w:rFonts w:asciiTheme="minorHAnsi" w:hAnsiTheme="minorHAnsi"/>
          <w:b w:val="0"/>
          <w:color w:val="auto"/>
          <w:sz w:val="22"/>
        </w:rPr>
        <w:t>Steve Fredricks or Daniel Tugaw.</w:t>
      </w:r>
      <w:r w:rsidR="00C81A31">
        <w:rPr>
          <w:rFonts w:asciiTheme="minorHAnsi" w:hAnsiTheme="minorHAnsi"/>
          <w:b w:val="0"/>
          <w:sz w:val="22"/>
        </w:rPr>
        <w:br/>
      </w:r>
    </w:p>
    <w:tbl>
      <w:tblPr>
        <w:tblStyle w:val="a"/>
        <w:tblW w:w="6314" w:type="dxa"/>
        <w:tblInd w:w="-114" w:type="dxa"/>
        <w:tblBorders>
          <w:top w:val="single" w:sz="8" w:space="0" w:color="C0AF92"/>
          <w:left w:val="single" w:sz="8" w:space="0" w:color="C0AF92"/>
          <w:bottom w:val="single" w:sz="8" w:space="0" w:color="C0AF92"/>
          <w:right w:val="single" w:sz="8" w:space="0" w:color="C0AF92"/>
          <w:insideH w:val="single" w:sz="8" w:space="0" w:color="C0AF92"/>
          <w:insideV w:val="single" w:sz="8" w:space="0" w:color="C0AF92"/>
        </w:tblBorders>
        <w:tblLayout w:type="fixed"/>
        <w:tblLook w:val="04A0" w:firstRow="1" w:lastRow="0" w:firstColumn="1" w:lastColumn="0" w:noHBand="0" w:noVBand="1"/>
      </w:tblPr>
      <w:tblGrid>
        <w:gridCol w:w="1638"/>
        <w:gridCol w:w="2966"/>
        <w:gridCol w:w="1710"/>
      </w:tblGrid>
      <w:tr w:rsidR="003E1635" w:rsidTr="003E1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vAlign w:val="center"/>
          </w:tcPr>
          <w:p w:rsidR="003E1635" w:rsidRPr="003E1635" w:rsidRDefault="003E1635" w:rsidP="00EF7763">
            <w:pPr>
              <w:tabs>
                <w:tab w:val="left" w:pos="1620"/>
              </w:tabs>
              <w:spacing w:after="120"/>
              <w:rPr>
                <w:b w:val="0"/>
              </w:rPr>
            </w:pPr>
            <w:r w:rsidRPr="003E1635">
              <w:rPr>
                <w:b w:val="0"/>
              </w:rPr>
              <w:t>Steve Fredricks</w:t>
            </w:r>
          </w:p>
        </w:tc>
        <w:tc>
          <w:tcPr>
            <w:tcW w:w="2966" w:type="dxa"/>
            <w:vAlign w:val="center"/>
          </w:tcPr>
          <w:p w:rsidR="003E1635" w:rsidRPr="003E1635" w:rsidRDefault="003E1635" w:rsidP="00EF7763">
            <w:pPr>
              <w:tabs>
                <w:tab w:val="left" w:pos="1620"/>
              </w:tabs>
              <w:spacing w:after="120"/>
              <w:cnfStyle w:val="100000000000" w:firstRow="1" w:lastRow="0" w:firstColumn="0" w:lastColumn="0" w:oddVBand="0" w:evenVBand="0" w:oddHBand="0" w:evenHBand="0" w:firstRowFirstColumn="0" w:firstRowLastColumn="0" w:lastRowFirstColumn="0" w:lastRowLastColumn="0"/>
              <w:rPr>
                <w:b w:val="0"/>
              </w:rPr>
            </w:pPr>
            <w:r w:rsidRPr="003E1635">
              <w:rPr>
                <w:b w:val="0"/>
              </w:rPr>
              <w:t>President</w:t>
            </w:r>
          </w:p>
        </w:tc>
        <w:tc>
          <w:tcPr>
            <w:tcW w:w="1710" w:type="dxa"/>
            <w:vAlign w:val="center"/>
          </w:tcPr>
          <w:p w:rsidR="003E1635" w:rsidRPr="003E1635" w:rsidRDefault="003E1635" w:rsidP="00C81A31">
            <w:pPr>
              <w:tabs>
                <w:tab w:val="left" w:pos="1620"/>
              </w:tabs>
              <w:spacing w:after="120"/>
              <w:cnfStyle w:val="100000000000" w:firstRow="1" w:lastRow="0" w:firstColumn="0" w:lastColumn="0" w:oddVBand="0" w:evenVBand="0" w:oddHBand="0" w:evenHBand="0" w:firstRowFirstColumn="0" w:firstRowLastColumn="0" w:lastRowFirstColumn="0" w:lastRowLastColumn="0"/>
              <w:rPr>
                <w:b w:val="0"/>
              </w:rPr>
            </w:pPr>
            <w:r w:rsidRPr="003E1635">
              <w:rPr>
                <w:b w:val="0"/>
              </w:rPr>
              <w:t xml:space="preserve">(415) </w:t>
            </w:r>
            <w:r w:rsidR="00C81A31">
              <w:rPr>
                <w:b w:val="0"/>
              </w:rPr>
              <w:t>209</w:t>
            </w:r>
            <w:r w:rsidRPr="003E1635">
              <w:rPr>
                <w:b w:val="0"/>
              </w:rPr>
              <w:t>-</w:t>
            </w:r>
            <w:r w:rsidR="00C81A31">
              <w:rPr>
                <w:b w:val="0"/>
              </w:rPr>
              <w:t>9463</w:t>
            </w:r>
          </w:p>
        </w:tc>
      </w:tr>
      <w:tr w:rsidR="003E1635" w:rsidTr="003E1635">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638" w:type="dxa"/>
            <w:vAlign w:val="center"/>
          </w:tcPr>
          <w:p w:rsidR="003E1635" w:rsidRPr="003E1635" w:rsidRDefault="003E1635" w:rsidP="00EF7763">
            <w:pPr>
              <w:tabs>
                <w:tab w:val="left" w:pos="1620"/>
              </w:tabs>
              <w:spacing w:after="120"/>
              <w:rPr>
                <w:b w:val="0"/>
              </w:rPr>
            </w:pPr>
            <w:r w:rsidRPr="003E1635">
              <w:rPr>
                <w:b w:val="0"/>
              </w:rPr>
              <w:t>Daniel Tugaw</w:t>
            </w:r>
          </w:p>
        </w:tc>
        <w:tc>
          <w:tcPr>
            <w:tcW w:w="2966" w:type="dxa"/>
            <w:vAlign w:val="center"/>
          </w:tcPr>
          <w:p w:rsidR="003E1635" w:rsidRPr="003E1635" w:rsidRDefault="003E1635" w:rsidP="00EF7763">
            <w:pPr>
              <w:tabs>
                <w:tab w:val="left" w:pos="1620"/>
              </w:tabs>
              <w:spacing w:after="120"/>
              <w:cnfStyle w:val="000000100000" w:firstRow="0" w:lastRow="0" w:firstColumn="0" w:lastColumn="0" w:oddVBand="0" w:evenVBand="0" w:oddHBand="1" w:evenHBand="0" w:firstRowFirstColumn="0" w:firstRowLastColumn="0" w:lastRowFirstColumn="0" w:lastRowLastColumn="0"/>
            </w:pPr>
            <w:r w:rsidRPr="003E1635">
              <w:t>Market Researcher &amp; Analyst</w:t>
            </w:r>
          </w:p>
        </w:tc>
        <w:tc>
          <w:tcPr>
            <w:tcW w:w="1710" w:type="dxa"/>
            <w:vAlign w:val="center"/>
          </w:tcPr>
          <w:p w:rsidR="003E1635" w:rsidRPr="003E1635" w:rsidRDefault="003E1635" w:rsidP="003E1635">
            <w:pPr>
              <w:tabs>
                <w:tab w:val="left" w:pos="1620"/>
              </w:tabs>
              <w:spacing w:after="120"/>
              <w:cnfStyle w:val="000000100000" w:firstRow="0" w:lastRow="0" w:firstColumn="0" w:lastColumn="0" w:oddVBand="0" w:evenVBand="0" w:oddHBand="1" w:evenHBand="0" w:firstRowFirstColumn="0" w:firstRowLastColumn="0" w:lastRowFirstColumn="0" w:lastRowLastColumn="0"/>
            </w:pPr>
            <w:r w:rsidRPr="003E1635">
              <w:t>(415) 209-9463</w:t>
            </w:r>
          </w:p>
        </w:tc>
      </w:tr>
    </w:tbl>
    <w:p w:rsidR="00156C27" w:rsidRPr="00156C27" w:rsidRDefault="00156C27" w:rsidP="00156C27"/>
    <w:sectPr w:rsidR="00156C27" w:rsidRPr="00156C27">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DE" w:rsidRDefault="00EC6EDE">
      <w:pPr>
        <w:spacing w:after="0" w:line="240" w:lineRule="auto"/>
      </w:pPr>
      <w:r>
        <w:separator/>
      </w:r>
    </w:p>
  </w:endnote>
  <w:endnote w:type="continuationSeparator" w:id="0">
    <w:p w:rsidR="00EC6EDE" w:rsidRDefault="00EC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51" w:rsidRDefault="001C6E51">
    <w:pPr>
      <w:widowControl w:val="0"/>
      <w:spacing w:after="0"/>
    </w:pPr>
  </w:p>
  <w:tbl>
    <w:tblPr>
      <w:tblStyle w:val="a0"/>
      <w:tblW w:w="7668" w:type="dxa"/>
      <w:tblInd w:w="-114" w:type="dxa"/>
      <w:tblLayout w:type="fixed"/>
      <w:tblLook w:val="0400" w:firstRow="0" w:lastRow="0" w:firstColumn="0" w:lastColumn="0" w:noHBand="0" w:noVBand="1"/>
    </w:tblPr>
    <w:tblGrid>
      <w:gridCol w:w="1026"/>
      <w:gridCol w:w="6642"/>
    </w:tblGrid>
    <w:tr w:rsidR="001C6E51">
      <w:trPr>
        <w:trHeight w:val="200"/>
      </w:trPr>
      <w:tc>
        <w:tcPr>
          <w:tcW w:w="1026" w:type="dxa"/>
          <w:vAlign w:val="bottom"/>
        </w:tcPr>
        <w:p w:rsidR="001C6E51" w:rsidRDefault="001C6E51">
          <w:pPr>
            <w:tabs>
              <w:tab w:val="center" w:pos="4680"/>
              <w:tab w:val="right" w:pos="9360"/>
            </w:tabs>
            <w:spacing w:after="0" w:line="240" w:lineRule="auto"/>
            <w:jc w:val="center"/>
          </w:pPr>
          <w:r>
            <w:rPr>
              <w:noProof/>
            </w:rPr>
            <w:drawing>
              <wp:inline distT="0" distB="0" distL="114300" distR="114300" wp14:anchorId="310BFC19" wp14:editId="33D31C15">
                <wp:extent cx="1440" cy="14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440" cy="1440"/>
                        </a:xfrm>
                        <a:prstGeom prst="rect">
                          <a:avLst/>
                        </a:prstGeom>
                        <a:ln/>
                      </pic:spPr>
                    </pic:pic>
                  </a:graphicData>
                </a:graphic>
              </wp:inline>
            </w:drawing>
          </w:r>
          <w:r>
            <w:rPr>
              <w:noProof/>
            </w:rPr>
            <w:drawing>
              <wp:inline distT="0" distB="0" distL="0" distR="0" wp14:anchorId="44E912AB" wp14:editId="3C7DF713">
                <wp:extent cx="495300" cy="4699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495300" cy="469900"/>
                        </a:xfrm>
                        <a:prstGeom prst="rect">
                          <a:avLst/>
                        </a:prstGeom>
                        <a:ln/>
                      </pic:spPr>
                    </pic:pic>
                  </a:graphicData>
                </a:graphic>
              </wp:inline>
            </w:drawing>
          </w:r>
        </w:p>
      </w:tc>
      <w:tc>
        <w:tcPr>
          <w:tcW w:w="6642" w:type="dxa"/>
          <w:vAlign w:val="center"/>
        </w:tcPr>
        <w:p w:rsidR="001C6E51" w:rsidRDefault="001C6E51">
          <w:pPr>
            <w:tabs>
              <w:tab w:val="center" w:pos="4680"/>
              <w:tab w:val="right" w:pos="9360"/>
            </w:tabs>
            <w:spacing w:after="0" w:line="240" w:lineRule="auto"/>
          </w:pPr>
          <w:r>
            <w:rPr>
              <w:sz w:val="20"/>
            </w:rPr>
            <w:t>Trusted and Strategic Advisors to Growers, Wineries and Financiers</w:t>
          </w:r>
        </w:p>
        <w:p w:rsidR="001C6E51" w:rsidRDefault="001C6E51">
          <w:pPr>
            <w:tabs>
              <w:tab w:val="center" w:pos="4680"/>
              <w:tab w:val="right" w:pos="9360"/>
            </w:tabs>
            <w:spacing w:after="0" w:line="240" w:lineRule="auto"/>
          </w:pPr>
          <w:r>
            <w:rPr>
              <w:sz w:val="20"/>
            </w:rPr>
            <w:t>(415) 209-WINE  |  www.turrentinebrokerage.com</w:t>
          </w:r>
        </w:p>
      </w:tc>
    </w:tr>
  </w:tbl>
  <w:p w:rsidR="001C6E51" w:rsidRDefault="001C6E51">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DE" w:rsidRDefault="00EC6EDE">
      <w:pPr>
        <w:spacing w:after="0" w:line="240" w:lineRule="auto"/>
      </w:pPr>
      <w:r>
        <w:separator/>
      </w:r>
    </w:p>
  </w:footnote>
  <w:footnote w:type="continuationSeparator" w:id="0">
    <w:p w:rsidR="00EC6EDE" w:rsidRDefault="00EC6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51" w:rsidRDefault="001C6E51">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17A57"/>
    <w:multiLevelType w:val="hybridMultilevel"/>
    <w:tmpl w:val="7A209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C1208A"/>
    <w:multiLevelType w:val="hybridMultilevel"/>
    <w:tmpl w:val="E8B4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ED212D"/>
    <w:multiLevelType w:val="hybridMultilevel"/>
    <w:tmpl w:val="CCB4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Tugaw">
    <w15:presenceInfo w15:providerId="Windows Live" w15:userId="4f790ca05bc17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35"/>
    <w:rsid w:val="00015AD5"/>
    <w:rsid w:val="0001753D"/>
    <w:rsid w:val="000232F5"/>
    <w:rsid w:val="0006491D"/>
    <w:rsid w:val="000A6EBA"/>
    <w:rsid w:val="000B7E61"/>
    <w:rsid w:val="000E4979"/>
    <w:rsid w:val="001544CE"/>
    <w:rsid w:val="00156C27"/>
    <w:rsid w:val="00160EEF"/>
    <w:rsid w:val="001815D6"/>
    <w:rsid w:val="001A0C80"/>
    <w:rsid w:val="001C6E51"/>
    <w:rsid w:val="00203C4A"/>
    <w:rsid w:val="0020734F"/>
    <w:rsid w:val="00226B08"/>
    <w:rsid w:val="00244EBC"/>
    <w:rsid w:val="0026190E"/>
    <w:rsid w:val="002C22C4"/>
    <w:rsid w:val="002D6FD3"/>
    <w:rsid w:val="002F1D69"/>
    <w:rsid w:val="003603B8"/>
    <w:rsid w:val="00374FFD"/>
    <w:rsid w:val="003C0423"/>
    <w:rsid w:val="003E1635"/>
    <w:rsid w:val="003F4935"/>
    <w:rsid w:val="00476406"/>
    <w:rsid w:val="004A1AFC"/>
    <w:rsid w:val="004B435E"/>
    <w:rsid w:val="00524D57"/>
    <w:rsid w:val="005316A7"/>
    <w:rsid w:val="005864FC"/>
    <w:rsid w:val="005A5E6F"/>
    <w:rsid w:val="005E69B2"/>
    <w:rsid w:val="00600E0D"/>
    <w:rsid w:val="0060400D"/>
    <w:rsid w:val="00667762"/>
    <w:rsid w:val="00675ABE"/>
    <w:rsid w:val="006913A4"/>
    <w:rsid w:val="006D1408"/>
    <w:rsid w:val="006E776F"/>
    <w:rsid w:val="006F3E6E"/>
    <w:rsid w:val="00716748"/>
    <w:rsid w:val="00745441"/>
    <w:rsid w:val="00754753"/>
    <w:rsid w:val="00755ECD"/>
    <w:rsid w:val="00770FEE"/>
    <w:rsid w:val="007855A4"/>
    <w:rsid w:val="00785BBE"/>
    <w:rsid w:val="0079748F"/>
    <w:rsid w:val="007A6EBC"/>
    <w:rsid w:val="007B7A39"/>
    <w:rsid w:val="007D3ACE"/>
    <w:rsid w:val="008037F6"/>
    <w:rsid w:val="008622B9"/>
    <w:rsid w:val="00886C30"/>
    <w:rsid w:val="008B207E"/>
    <w:rsid w:val="009342AC"/>
    <w:rsid w:val="009A43ED"/>
    <w:rsid w:val="009C7963"/>
    <w:rsid w:val="00AB7B35"/>
    <w:rsid w:val="00AD1037"/>
    <w:rsid w:val="00B266D4"/>
    <w:rsid w:val="00BC1CC2"/>
    <w:rsid w:val="00BC5E0B"/>
    <w:rsid w:val="00BD221C"/>
    <w:rsid w:val="00C81A31"/>
    <w:rsid w:val="00CB41B4"/>
    <w:rsid w:val="00CF3A65"/>
    <w:rsid w:val="00D27155"/>
    <w:rsid w:val="00E0379C"/>
    <w:rsid w:val="00E248FD"/>
    <w:rsid w:val="00E46FF5"/>
    <w:rsid w:val="00E671D0"/>
    <w:rsid w:val="00EA4D8B"/>
    <w:rsid w:val="00EC46DF"/>
    <w:rsid w:val="00EC6EDE"/>
    <w:rsid w:val="00ED4AEB"/>
    <w:rsid w:val="00EF6A82"/>
    <w:rsid w:val="00F13751"/>
    <w:rsid w:val="00F50B43"/>
    <w:rsid w:val="00FB3381"/>
    <w:rsid w:val="00FC3B42"/>
    <w:rsid w:val="00FC52D8"/>
    <w:rsid w:val="00FF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keepLines/>
      <w:spacing w:before="480" w:after="0"/>
      <w:outlineLvl w:val="0"/>
    </w:pPr>
    <w:rPr>
      <w:rFonts w:ascii="Cambria" w:eastAsia="Cambria" w:hAnsi="Cambria" w:cs="Cambria"/>
      <w:b/>
      <w:color w:val="400000"/>
      <w:sz w:val="28"/>
    </w:rPr>
  </w:style>
  <w:style w:type="paragraph" w:styleId="Heading2">
    <w:name w:val="heading 2"/>
    <w:basedOn w:val="Normal"/>
    <w:next w:val="Normal"/>
    <w:pPr>
      <w:keepNext/>
      <w:keepLines/>
      <w:spacing w:before="200" w:after="0"/>
      <w:outlineLvl w:val="1"/>
    </w:pPr>
    <w:rPr>
      <w:rFonts w:ascii="Cambria" w:eastAsia="Cambria" w:hAnsi="Cambria" w:cs="Cambria"/>
      <w:b/>
      <w:color w:val="560000"/>
      <w:sz w:val="26"/>
    </w:rPr>
  </w:style>
  <w:style w:type="paragraph" w:styleId="Heading3">
    <w:name w:val="heading 3"/>
    <w:basedOn w:val="Normal"/>
    <w:next w:val="Normal"/>
    <w:pPr>
      <w:keepNext/>
      <w:keepLines/>
      <w:spacing w:before="200" w:after="0"/>
      <w:outlineLvl w:val="2"/>
    </w:pPr>
    <w:rPr>
      <w:rFonts w:ascii="Cambria" w:eastAsia="Cambria" w:hAnsi="Cambria" w:cs="Cambria"/>
      <w:b/>
      <w:color w:val="560000"/>
    </w:rPr>
  </w:style>
  <w:style w:type="paragraph" w:styleId="Heading4">
    <w:name w:val="heading 4"/>
    <w:basedOn w:val="Normal"/>
    <w:next w:val="Normal"/>
    <w:pPr>
      <w:keepNext/>
      <w:keepLines/>
      <w:spacing w:before="200" w:after="0"/>
      <w:outlineLvl w:val="3"/>
    </w:pPr>
    <w:rPr>
      <w:rFonts w:ascii="Cambria" w:eastAsia="Cambria" w:hAnsi="Cambria" w:cs="Cambria"/>
      <w:b/>
      <w:i/>
      <w:color w:val="560000"/>
    </w:rPr>
  </w:style>
  <w:style w:type="paragraph" w:styleId="Heading5">
    <w:name w:val="heading 5"/>
    <w:basedOn w:val="Normal"/>
    <w:next w:val="Normal"/>
    <w:pPr>
      <w:keepNext/>
      <w:keepLines/>
      <w:spacing w:before="200" w:after="0"/>
      <w:outlineLvl w:val="4"/>
    </w:pPr>
    <w:rPr>
      <w:rFonts w:ascii="Cambria" w:eastAsia="Cambria" w:hAnsi="Cambria" w:cs="Cambria"/>
      <w:color w:val="2A0000"/>
    </w:rPr>
  </w:style>
  <w:style w:type="paragraph" w:styleId="Heading6">
    <w:name w:val="heading 6"/>
    <w:basedOn w:val="Normal"/>
    <w:next w:val="Normal"/>
    <w:pPr>
      <w:keepNext/>
      <w:keepLines/>
      <w:spacing w:before="200" w:after="0"/>
      <w:outlineLvl w:val="5"/>
    </w:pPr>
    <w:rPr>
      <w:rFonts w:ascii="Cambria" w:eastAsia="Cambria" w:hAnsi="Cambria" w:cs="Cambria"/>
      <w:i/>
      <w:color w:val="2A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rPr>
  </w:style>
  <w:style w:type="paragraph" w:styleId="Subtitle">
    <w:name w:val="Subtitle"/>
    <w:basedOn w:val="Normal"/>
    <w:next w:val="Normal"/>
    <w:pPr>
      <w:keepNext/>
      <w:keepLines/>
    </w:pPr>
    <w:rPr>
      <w:rFonts w:ascii="Cambria" w:eastAsia="Cambria" w:hAnsi="Cambria" w:cs="Cambria"/>
      <w:i/>
      <w:color w:val="560000"/>
      <w:sz w:val="24"/>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EAE4DB"/>
    </w:tc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18" w:space="0" w:color="C0AF92"/>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5CAB6"/>
        <w:tcMar>
          <w:top w:w="0" w:type="nil"/>
          <w:left w:w="115" w:type="dxa"/>
          <w:bottom w:w="0" w:type="nil"/>
          <w:right w:w="115" w:type="dxa"/>
        </w:tcMar>
      </w:tcPr>
    </w:tblStylePr>
    <w:tblStylePr w:type="band1Horz">
      <w:pPr>
        <w:contextualSpacing/>
      </w:pPr>
      <w:tblPr/>
      <w:tcPr>
        <w:shd w:val="clear" w:color="auto" w:fill="D5CAB6"/>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6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62"/>
    <w:rPr>
      <w:rFonts w:ascii="Tahoma" w:hAnsi="Tahoma" w:cs="Tahoma"/>
      <w:sz w:val="16"/>
      <w:szCs w:val="16"/>
    </w:rPr>
  </w:style>
  <w:style w:type="character" w:styleId="CommentReference">
    <w:name w:val="annotation reference"/>
    <w:basedOn w:val="DefaultParagraphFont"/>
    <w:uiPriority w:val="99"/>
    <w:semiHidden/>
    <w:unhideWhenUsed/>
    <w:rsid w:val="004A1AFC"/>
    <w:rPr>
      <w:sz w:val="16"/>
      <w:szCs w:val="16"/>
    </w:rPr>
  </w:style>
  <w:style w:type="paragraph" w:styleId="CommentText">
    <w:name w:val="annotation text"/>
    <w:basedOn w:val="Normal"/>
    <w:link w:val="CommentTextChar"/>
    <w:uiPriority w:val="99"/>
    <w:unhideWhenUsed/>
    <w:rsid w:val="004A1AFC"/>
    <w:pPr>
      <w:spacing w:line="240" w:lineRule="auto"/>
    </w:pPr>
    <w:rPr>
      <w:sz w:val="20"/>
    </w:rPr>
  </w:style>
  <w:style w:type="character" w:customStyle="1" w:styleId="CommentTextChar">
    <w:name w:val="Comment Text Char"/>
    <w:basedOn w:val="DefaultParagraphFont"/>
    <w:link w:val="CommentText"/>
    <w:uiPriority w:val="99"/>
    <w:rsid w:val="004A1AFC"/>
    <w:rPr>
      <w:sz w:val="20"/>
    </w:rPr>
  </w:style>
  <w:style w:type="paragraph" w:styleId="CommentSubject">
    <w:name w:val="annotation subject"/>
    <w:basedOn w:val="CommentText"/>
    <w:next w:val="CommentText"/>
    <w:link w:val="CommentSubjectChar"/>
    <w:uiPriority w:val="99"/>
    <w:semiHidden/>
    <w:unhideWhenUsed/>
    <w:rsid w:val="004A1AFC"/>
    <w:rPr>
      <w:b/>
      <w:bCs/>
    </w:rPr>
  </w:style>
  <w:style w:type="character" w:customStyle="1" w:styleId="CommentSubjectChar">
    <w:name w:val="Comment Subject Char"/>
    <w:basedOn w:val="CommentTextChar"/>
    <w:link w:val="CommentSubject"/>
    <w:uiPriority w:val="99"/>
    <w:semiHidden/>
    <w:rsid w:val="004A1AFC"/>
    <w:rPr>
      <w:b/>
      <w:bCs/>
      <w:sz w:val="20"/>
    </w:rPr>
  </w:style>
  <w:style w:type="paragraph" w:styleId="NoSpacing">
    <w:name w:val="No Spacing"/>
    <w:uiPriority w:val="1"/>
    <w:qFormat/>
    <w:rsid w:val="003C0423"/>
    <w:pPr>
      <w:spacing w:after="0" w:line="240" w:lineRule="auto"/>
    </w:pPr>
  </w:style>
  <w:style w:type="paragraph" w:styleId="ListParagraph">
    <w:name w:val="List Paragraph"/>
    <w:basedOn w:val="Normal"/>
    <w:uiPriority w:val="34"/>
    <w:qFormat/>
    <w:rsid w:val="0006491D"/>
    <w:pPr>
      <w:ind w:left="720"/>
      <w:contextualSpacing/>
    </w:pPr>
  </w:style>
  <w:style w:type="character" w:styleId="Hyperlink">
    <w:name w:val="Hyperlink"/>
    <w:basedOn w:val="DefaultParagraphFont"/>
    <w:uiPriority w:val="99"/>
    <w:rsid w:val="003E1635"/>
    <w:rPr>
      <w:color w:val="0000FF"/>
      <w:u w:val="single"/>
    </w:rPr>
  </w:style>
  <w:style w:type="character" w:customStyle="1" w:styleId="Heading1Char">
    <w:name w:val="Heading 1 Char"/>
    <w:basedOn w:val="DefaultParagraphFont"/>
    <w:link w:val="Heading1"/>
    <w:rsid w:val="003E1635"/>
    <w:rPr>
      <w:rFonts w:ascii="Cambria" w:eastAsia="Cambria" w:hAnsi="Cambria" w:cs="Cambria"/>
      <w:b/>
      <w:color w:val="400000"/>
      <w:sz w:val="28"/>
    </w:rPr>
  </w:style>
  <w:style w:type="character" w:customStyle="1" w:styleId="FigureX-Y">
    <w:name w:val="Figure X-Y"/>
    <w:uiPriority w:val="99"/>
    <w:rsid w:val="003E1635"/>
    <w:rPr>
      <w:rFonts w:ascii="Adobe Garamond Pro Bold" w:hAnsi="Adobe Garamond Pro Bold" w:cs="Adobe Garamond Pro Bold"/>
      <w:b/>
      <w:bCs/>
      <w:sz w:val="18"/>
      <w:szCs w:val="18"/>
    </w:rPr>
  </w:style>
  <w:style w:type="character" w:styleId="FollowedHyperlink">
    <w:name w:val="FollowedHyperlink"/>
    <w:basedOn w:val="DefaultParagraphFont"/>
    <w:uiPriority w:val="99"/>
    <w:semiHidden/>
    <w:unhideWhenUsed/>
    <w:rsid w:val="00C81A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keepLines/>
      <w:spacing w:before="480" w:after="0"/>
      <w:outlineLvl w:val="0"/>
    </w:pPr>
    <w:rPr>
      <w:rFonts w:ascii="Cambria" w:eastAsia="Cambria" w:hAnsi="Cambria" w:cs="Cambria"/>
      <w:b/>
      <w:color w:val="400000"/>
      <w:sz w:val="28"/>
    </w:rPr>
  </w:style>
  <w:style w:type="paragraph" w:styleId="Heading2">
    <w:name w:val="heading 2"/>
    <w:basedOn w:val="Normal"/>
    <w:next w:val="Normal"/>
    <w:pPr>
      <w:keepNext/>
      <w:keepLines/>
      <w:spacing w:before="200" w:after="0"/>
      <w:outlineLvl w:val="1"/>
    </w:pPr>
    <w:rPr>
      <w:rFonts w:ascii="Cambria" w:eastAsia="Cambria" w:hAnsi="Cambria" w:cs="Cambria"/>
      <w:b/>
      <w:color w:val="560000"/>
      <w:sz w:val="26"/>
    </w:rPr>
  </w:style>
  <w:style w:type="paragraph" w:styleId="Heading3">
    <w:name w:val="heading 3"/>
    <w:basedOn w:val="Normal"/>
    <w:next w:val="Normal"/>
    <w:pPr>
      <w:keepNext/>
      <w:keepLines/>
      <w:spacing w:before="200" w:after="0"/>
      <w:outlineLvl w:val="2"/>
    </w:pPr>
    <w:rPr>
      <w:rFonts w:ascii="Cambria" w:eastAsia="Cambria" w:hAnsi="Cambria" w:cs="Cambria"/>
      <w:b/>
      <w:color w:val="560000"/>
    </w:rPr>
  </w:style>
  <w:style w:type="paragraph" w:styleId="Heading4">
    <w:name w:val="heading 4"/>
    <w:basedOn w:val="Normal"/>
    <w:next w:val="Normal"/>
    <w:pPr>
      <w:keepNext/>
      <w:keepLines/>
      <w:spacing w:before="200" w:after="0"/>
      <w:outlineLvl w:val="3"/>
    </w:pPr>
    <w:rPr>
      <w:rFonts w:ascii="Cambria" w:eastAsia="Cambria" w:hAnsi="Cambria" w:cs="Cambria"/>
      <w:b/>
      <w:i/>
      <w:color w:val="560000"/>
    </w:rPr>
  </w:style>
  <w:style w:type="paragraph" w:styleId="Heading5">
    <w:name w:val="heading 5"/>
    <w:basedOn w:val="Normal"/>
    <w:next w:val="Normal"/>
    <w:pPr>
      <w:keepNext/>
      <w:keepLines/>
      <w:spacing w:before="200" w:after="0"/>
      <w:outlineLvl w:val="4"/>
    </w:pPr>
    <w:rPr>
      <w:rFonts w:ascii="Cambria" w:eastAsia="Cambria" w:hAnsi="Cambria" w:cs="Cambria"/>
      <w:color w:val="2A0000"/>
    </w:rPr>
  </w:style>
  <w:style w:type="paragraph" w:styleId="Heading6">
    <w:name w:val="heading 6"/>
    <w:basedOn w:val="Normal"/>
    <w:next w:val="Normal"/>
    <w:pPr>
      <w:keepNext/>
      <w:keepLines/>
      <w:spacing w:before="200" w:after="0"/>
      <w:outlineLvl w:val="5"/>
    </w:pPr>
    <w:rPr>
      <w:rFonts w:ascii="Cambria" w:eastAsia="Cambria" w:hAnsi="Cambria" w:cs="Cambria"/>
      <w:i/>
      <w:color w:val="2A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rPr>
  </w:style>
  <w:style w:type="paragraph" w:styleId="Subtitle">
    <w:name w:val="Subtitle"/>
    <w:basedOn w:val="Normal"/>
    <w:next w:val="Normal"/>
    <w:pPr>
      <w:keepNext/>
      <w:keepLines/>
    </w:pPr>
    <w:rPr>
      <w:rFonts w:ascii="Cambria" w:eastAsia="Cambria" w:hAnsi="Cambria" w:cs="Cambria"/>
      <w:i/>
      <w:color w:val="560000"/>
      <w:sz w:val="24"/>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EAE4DB"/>
    </w:tc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18" w:space="0" w:color="C0AF92"/>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5CAB6"/>
        <w:tcMar>
          <w:top w:w="0" w:type="nil"/>
          <w:left w:w="115" w:type="dxa"/>
          <w:bottom w:w="0" w:type="nil"/>
          <w:right w:w="115" w:type="dxa"/>
        </w:tcMar>
      </w:tcPr>
    </w:tblStylePr>
    <w:tblStylePr w:type="band1Horz">
      <w:pPr>
        <w:contextualSpacing/>
      </w:pPr>
      <w:tblPr/>
      <w:tcPr>
        <w:shd w:val="clear" w:color="auto" w:fill="D5CAB6"/>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6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62"/>
    <w:rPr>
      <w:rFonts w:ascii="Tahoma" w:hAnsi="Tahoma" w:cs="Tahoma"/>
      <w:sz w:val="16"/>
      <w:szCs w:val="16"/>
    </w:rPr>
  </w:style>
  <w:style w:type="character" w:styleId="CommentReference">
    <w:name w:val="annotation reference"/>
    <w:basedOn w:val="DefaultParagraphFont"/>
    <w:uiPriority w:val="99"/>
    <w:semiHidden/>
    <w:unhideWhenUsed/>
    <w:rsid w:val="004A1AFC"/>
    <w:rPr>
      <w:sz w:val="16"/>
      <w:szCs w:val="16"/>
    </w:rPr>
  </w:style>
  <w:style w:type="paragraph" w:styleId="CommentText">
    <w:name w:val="annotation text"/>
    <w:basedOn w:val="Normal"/>
    <w:link w:val="CommentTextChar"/>
    <w:uiPriority w:val="99"/>
    <w:unhideWhenUsed/>
    <w:rsid w:val="004A1AFC"/>
    <w:pPr>
      <w:spacing w:line="240" w:lineRule="auto"/>
    </w:pPr>
    <w:rPr>
      <w:sz w:val="20"/>
    </w:rPr>
  </w:style>
  <w:style w:type="character" w:customStyle="1" w:styleId="CommentTextChar">
    <w:name w:val="Comment Text Char"/>
    <w:basedOn w:val="DefaultParagraphFont"/>
    <w:link w:val="CommentText"/>
    <w:uiPriority w:val="99"/>
    <w:rsid w:val="004A1AFC"/>
    <w:rPr>
      <w:sz w:val="20"/>
    </w:rPr>
  </w:style>
  <w:style w:type="paragraph" w:styleId="CommentSubject">
    <w:name w:val="annotation subject"/>
    <w:basedOn w:val="CommentText"/>
    <w:next w:val="CommentText"/>
    <w:link w:val="CommentSubjectChar"/>
    <w:uiPriority w:val="99"/>
    <w:semiHidden/>
    <w:unhideWhenUsed/>
    <w:rsid w:val="004A1AFC"/>
    <w:rPr>
      <w:b/>
      <w:bCs/>
    </w:rPr>
  </w:style>
  <w:style w:type="character" w:customStyle="1" w:styleId="CommentSubjectChar">
    <w:name w:val="Comment Subject Char"/>
    <w:basedOn w:val="CommentTextChar"/>
    <w:link w:val="CommentSubject"/>
    <w:uiPriority w:val="99"/>
    <w:semiHidden/>
    <w:rsid w:val="004A1AFC"/>
    <w:rPr>
      <w:b/>
      <w:bCs/>
      <w:sz w:val="20"/>
    </w:rPr>
  </w:style>
  <w:style w:type="paragraph" w:styleId="NoSpacing">
    <w:name w:val="No Spacing"/>
    <w:uiPriority w:val="1"/>
    <w:qFormat/>
    <w:rsid w:val="003C0423"/>
    <w:pPr>
      <w:spacing w:after="0" w:line="240" w:lineRule="auto"/>
    </w:pPr>
  </w:style>
  <w:style w:type="paragraph" w:styleId="ListParagraph">
    <w:name w:val="List Paragraph"/>
    <w:basedOn w:val="Normal"/>
    <w:uiPriority w:val="34"/>
    <w:qFormat/>
    <w:rsid w:val="0006491D"/>
    <w:pPr>
      <w:ind w:left="720"/>
      <w:contextualSpacing/>
    </w:pPr>
  </w:style>
  <w:style w:type="character" w:styleId="Hyperlink">
    <w:name w:val="Hyperlink"/>
    <w:basedOn w:val="DefaultParagraphFont"/>
    <w:uiPriority w:val="99"/>
    <w:rsid w:val="003E1635"/>
    <w:rPr>
      <w:color w:val="0000FF"/>
      <w:u w:val="single"/>
    </w:rPr>
  </w:style>
  <w:style w:type="character" w:customStyle="1" w:styleId="Heading1Char">
    <w:name w:val="Heading 1 Char"/>
    <w:basedOn w:val="DefaultParagraphFont"/>
    <w:link w:val="Heading1"/>
    <w:rsid w:val="003E1635"/>
    <w:rPr>
      <w:rFonts w:ascii="Cambria" w:eastAsia="Cambria" w:hAnsi="Cambria" w:cs="Cambria"/>
      <w:b/>
      <w:color w:val="400000"/>
      <w:sz w:val="28"/>
    </w:rPr>
  </w:style>
  <w:style w:type="character" w:customStyle="1" w:styleId="FigureX-Y">
    <w:name w:val="Figure X-Y"/>
    <w:uiPriority w:val="99"/>
    <w:rsid w:val="003E1635"/>
    <w:rPr>
      <w:rFonts w:ascii="Adobe Garamond Pro Bold" w:hAnsi="Adobe Garamond Pro Bold" w:cs="Adobe Garamond Pro Bold"/>
      <w:b/>
      <w:bCs/>
      <w:sz w:val="18"/>
      <w:szCs w:val="18"/>
    </w:rPr>
  </w:style>
  <w:style w:type="character" w:styleId="FollowedHyperlink">
    <w:name w:val="FollowedHyperlink"/>
    <w:basedOn w:val="DefaultParagraphFont"/>
    <w:uiPriority w:val="99"/>
    <w:semiHidden/>
    <w:unhideWhenUsed/>
    <w:rsid w:val="00C81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2375">
      <w:bodyDiv w:val="1"/>
      <w:marLeft w:val="0"/>
      <w:marRight w:val="0"/>
      <w:marTop w:val="0"/>
      <w:marBottom w:val="0"/>
      <w:divBdr>
        <w:top w:val="none" w:sz="0" w:space="0" w:color="auto"/>
        <w:left w:val="none" w:sz="0" w:space="0" w:color="auto"/>
        <w:bottom w:val="none" w:sz="0" w:space="0" w:color="auto"/>
        <w:right w:val="none" w:sz="0" w:space="0" w:color="auto"/>
      </w:divBdr>
    </w:div>
    <w:div w:id="661466571">
      <w:bodyDiv w:val="1"/>
      <w:marLeft w:val="0"/>
      <w:marRight w:val="0"/>
      <w:marTop w:val="0"/>
      <w:marBottom w:val="0"/>
      <w:divBdr>
        <w:top w:val="none" w:sz="0" w:space="0" w:color="auto"/>
        <w:left w:val="none" w:sz="0" w:space="0" w:color="auto"/>
        <w:bottom w:val="none" w:sz="0" w:space="0" w:color="auto"/>
        <w:right w:val="none" w:sz="0" w:space="0" w:color="auto"/>
      </w:divBdr>
    </w:div>
    <w:div w:id="958149660">
      <w:bodyDiv w:val="1"/>
      <w:marLeft w:val="0"/>
      <w:marRight w:val="0"/>
      <w:marTop w:val="0"/>
      <w:marBottom w:val="0"/>
      <w:divBdr>
        <w:top w:val="none" w:sz="0" w:space="0" w:color="auto"/>
        <w:left w:val="none" w:sz="0" w:space="0" w:color="auto"/>
        <w:bottom w:val="none" w:sz="0" w:space="0" w:color="auto"/>
        <w:right w:val="none" w:sz="0" w:space="0" w:color="auto"/>
      </w:divBdr>
    </w:div>
    <w:div w:id="1906379793">
      <w:bodyDiv w:val="1"/>
      <w:marLeft w:val="0"/>
      <w:marRight w:val="0"/>
      <w:marTop w:val="0"/>
      <w:marBottom w:val="0"/>
      <w:divBdr>
        <w:top w:val="none" w:sz="0" w:space="0" w:color="auto"/>
        <w:left w:val="none" w:sz="0" w:space="0" w:color="auto"/>
        <w:bottom w:val="none" w:sz="0" w:space="0" w:color="auto"/>
        <w:right w:val="none" w:sz="0" w:space="0" w:color="auto"/>
      </w:divBdr>
    </w:div>
    <w:div w:id="1989742761">
      <w:bodyDiv w:val="1"/>
      <w:marLeft w:val="0"/>
      <w:marRight w:val="0"/>
      <w:marTop w:val="0"/>
      <w:marBottom w:val="0"/>
      <w:divBdr>
        <w:top w:val="none" w:sz="0" w:space="0" w:color="auto"/>
        <w:left w:val="none" w:sz="0" w:space="0" w:color="auto"/>
        <w:bottom w:val="none" w:sz="0" w:space="0" w:color="auto"/>
        <w:right w:val="none" w:sz="0" w:space="0" w:color="auto"/>
      </w:divBdr>
    </w:div>
    <w:div w:id="2118089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rrentineoutlook.com"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Turrentine Winegrape Crush Report Press Release.docx</vt:lpstr>
    </vt:vector>
  </TitlesOfParts>
  <Company>Microsoft</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Turrentine Winegrape Crush Report Press Release.docx</dc:title>
  <dc:creator>Bill T</dc:creator>
  <cp:lastModifiedBy>Kelly Mahoney</cp:lastModifiedBy>
  <cp:revision>2</cp:revision>
  <cp:lastPrinted>2016-06-21T20:10:00Z</cp:lastPrinted>
  <dcterms:created xsi:type="dcterms:W3CDTF">2016-06-21T22:11:00Z</dcterms:created>
  <dcterms:modified xsi:type="dcterms:W3CDTF">2016-06-21T22:11:00Z</dcterms:modified>
</cp:coreProperties>
</file>